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napelemeslampak-hu.com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http://napelemeslampak-hu.com/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napelemeslampak-hu.com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napelemeslampak-hu.com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napelemeslampak-hu.com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